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Masters</w:t>
      </w:r>
    </w:p>
    <w:p w:rsidR="00000000" w:rsidDel="00000000" w:rsidP="00000000" w:rsidRDefault="00000000" w:rsidRPr="00000000" w14:paraId="0000000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Woods</w:t>
      </w:r>
    </w:p>
    <w:p w:rsidR="00000000" w:rsidDel="00000000" w:rsidP="00000000" w:rsidRDefault="00000000" w:rsidRPr="00000000" w14:paraId="0000000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EGL 102</w:t>
      </w:r>
    </w:p>
    <w:p w:rsidR="00000000" w:rsidDel="00000000" w:rsidP="00000000" w:rsidRDefault="00000000" w:rsidRPr="00000000" w14:paraId="0000000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September 2025</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Humane in an Artificial Domain</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are a classic issue in society, and it has been this way from the beginning. However, is it really possible that in our modern-day society, we might have to think about our own rights vs. the rights of a machine made to be like us? In Cataleta’s article “Humane Artificial Intelligence: The Fragility of Human Rights Facing AI,” the author employs ethos, pathos, and logos to support her argument that human rights in the context of artificial intelligence should continue to be respected.</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Artificial intelligence is a rapidly developing topic. It is supposed to be as close to human intelligence as it can be (within its constraints, hence “artificial”). This is why people are so concerned about it; if artificial intelligence starts to become too human, the rights of both parties must now be considered. Cataleta’s paper effectively utilizes ethos to convey this point. There is a clear and logical flow throughout the text, which inclines readers to give her stance a chance. Her argument is convincing too, with cited sources and no sugarcoated lines. For example, she dives into an already heated (and historically heated) topic of discrimination. She acknowledges that the European Commission sees AI as a threat in the way of discrimination, where it will not be “anthropocentric” and value humans above itself (Cataleta, 2020). I appreciate the way she does not even try to act like it is something it is not; the truth and clarity build the ethos even more. In this subject, she dives even further into how AI already tends to be discriminatory. She provided another example of how the ACLU utilized an AI model to analyze members of Congress from a database of over 20,000 photos. This AI created a nonexistent correlation between 5% of Congress members and criminals (Cataleta, 2020). Obviously, this is already not ideal to have as a result, but we get dropped into an even worse statistic: 39% of the false positives had something to do with dark-skinned individuals. That turns a discrimination issue into an even bigger issue; however, the author does not shy away from this statistic, and she instead uses it to her advantage. This continues to build her ethos as it shows the audience that she is not inclined to either shy away or sugarcoat this information. Finally, she uses citations properly and cites credible sources such as universities. This builds credibility as we know where her information is coming from and that credible sources line up with her argument.</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Pathos is a limited aspect of her article, but it is used. With how much this journal focuses on the technology and ethics aspect of artificial intelligence, there is not a lot of room to shove in a spur to action, but the message is delivered in a way that I want to pay more attention to this topic in the future. There may not be a lot of action that I or the public can take either now or in the near future, but it shows that this is a topic of concern that should be put into further discussion or research in the meantime. Further, she shows a skill of being able to persuade the audience of her position despite her use of higher vocabulary. This is important because this is an important topic to the author, and she wants people to know about it. She does seem to have passion behind the text, though, as when talking about the protection of personal data online, she says that it “should be stressed” that there should be a lack of similarity between algorithm risks and data protection. This wording conveys a certain amount of passion about this topic, which leads the audience to want to listen more to what she has to say.</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could be argued that Cataleta’s argument relies heavily on data alone or does not appeal to emotion enough, but her point still stands despite this. Since artificial intelligence does not run on emotion but rather on data (since it is an algorithm), it is not a matter of emotion or how either the people or the AI feels about its rights. It will act on its data analysis regardless of how it “feels,” which aligns with how people use AI to make cold and unbiased decisions. Therefore, her argument is still solid as it still appeals to the other two concepts. Furthermore, the audience likely does not expect heavy pathos anyway, as the piece leans more towards being informative rather than a call-to-action.</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Logos is not excluded, either. The flow of the text allows the reader’s brain to be able to read over and comprehend, and it does not leave cracks that could have them wondering, “Wait, where was she going with this?” This abundance of context and the detailed conclusions allow all of the information to click together. An example of this would be at the end of the topic concerning the initial topic (probably an introduction), there may be large words, but they are very descriptive (Cataleta, 2020). There is no bias in there either, as she just states things as they are without fluff. Of course, she also uses a large amount of evidence and references to support her point. It would be one thing if she said everything she said and did not have a way of supporting it, but she cites knowledgeable and trusted sources to reinforce her points. This is important because it contributes to not only logos but ethos and adds to both her credibility and her logic, as she is not the only person who thinks this way.</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rights of humans vs. the perceived rights of artificial intelligence will likely continue to be a topic of discussion well into the future. Due to this, the discussion of AI ethics must be logical and credible. If that isn’t the case, humanity could lose a bit of the grip they have on AI. With this in mind, Cataleta’s use of ethos, pathos, and logos will help her paper be both more readable and persuasive, as it ushers in new information that will emerge in the future. </w:t>
      </w:r>
      <w:r w:rsidDel="00000000" w:rsidR="00000000" w:rsidRPr="00000000">
        <w:br w:type="page"/>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Cataleta, M. S. (2020). </w:t>
      </w:r>
      <w:r w:rsidDel="00000000" w:rsidR="00000000" w:rsidRPr="00000000">
        <w:rPr>
          <w:rFonts w:ascii="Times New Roman" w:cs="Times New Roman" w:eastAsia="Times New Roman" w:hAnsi="Times New Roman"/>
          <w:i w:val="1"/>
          <w:sz w:val="24"/>
          <w:szCs w:val="24"/>
          <w:rtl w:val="0"/>
        </w:rPr>
        <w:t xml:space="preserve">Humane artificial intelligence: The fragility of human rights facing AI.</w:t>
      </w:r>
      <w:r w:rsidDel="00000000" w:rsidR="00000000" w:rsidRPr="00000000">
        <w:rPr>
          <w:rFonts w:ascii="Times New Roman" w:cs="Times New Roman" w:eastAsia="Times New Roman" w:hAnsi="Times New Roman"/>
          <w:sz w:val="24"/>
          <w:szCs w:val="24"/>
          <w:rtl w:val="0"/>
        </w:rPr>
        <w:t xml:space="preserve"> European Parliamentary Research Service. https://www.jstor.org/stable/resrep25514</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Masters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